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D9" w:rsidRPr="00883DD9" w:rsidRDefault="00883DD9" w:rsidP="00883DD9">
      <w:pPr>
        <w:spacing w:after="0" w:line="240" w:lineRule="auto"/>
        <w:jc w:val="center"/>
        <w:rPr>
          <w:rFonts w:ascii="Simplified Arabic" w:hAnsi="Simplified Arabic" w:cs="PT Bold Heading"/>
          <w:sz w:val="28"/>
          <w:szCs w:val="28"/>
          <w:rtl/>
          <w:lang w:bidi="ar-YE"/>
        </w:rPr>
      </w:pPr>
      <w:r w:rsidRPr="00883DD9">
        <w:rPr>
          <w:rFonts w:ascii="Simplified Arabic" w:hAnsi="Simplified Arabic" w:cs="PT Bold Heading" w:hint="cs"/>
          <w:sz w:val="28"/>
          <w:szCs w:val="28"/>
          <w:rtl/>
          <w:lang w:bidi="ar-YE"/>
        </w:rPr>
        <w:t>بيان</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إدانة</w:t>
      </w:r>
    </w:p>
    <w:p w:rsidR="00883DD9" w:rsidRPr="00883DD9" w:rsidRDefault="00883DD9" w:rsidP="00883DD9">
      <w:pPr>
        <w:spacing w:after="0" w:line="240" w:lineRule="auto"/>
        <w:jc w:val="center"/>
        <w:rPr>
          <w:rFonts w:ascii="Simplified Arabic" w:hAnsi="Simplified Arabic" w:cs="PT Bold Heading" w:hint="cs"/>
          <w:sz w:val="28"/>
          <w:szCs w:val="28"/>
          <w:rtl/>
          <w:lang w:bidi="ar-YE"/>
        </w:rPr>
      </w:pPr>
      <w:r w:rsidRPr="00883DD9">
        <w:rPr>
          <w:rFonts w:ascii="Simplified Arabic" w:hAnsi="Simplified Arabic" w:cs="PT Bold Heading" w:hint="cs"/>
          <w:sz w:val="28"/>
          <w:szCs w:val="28"/>
          <w:rtl/>
          <w:lang w:bidi="ar-YE"/>
        </w:rPr>
        <w:t>جريمة</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قصف</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تحالف</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العدوان</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السعودي</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لحفل</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زفاف</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بمديرية</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بني</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قيس</w:t>
      </w:r>
      <w:r w:rsidRPr="00883DD9">
        <w:rPr>
          <w:rFonts w:ascii="Simplified Arabic" w:hAnsi="Simplified Arabic" w:cs="PT Bold Heading"/>
          <w:sz w:val="28"/>
          <w:szCs w:val="28"/>
          <w:rtl/>
          <w:lang w:bidi="ar-YE"/>
        </w:rPr>
        <w:t xml:space="preserve"> – </w:t>
      </w:r>
      <w:r w:rsidRPr="00883DD9">
        <w:rPr>
          <w:rFonts w:ascii="Simplified Arabic" w:hAnsi="Simplified Arabic" w:cs="PT Bold Heading" w:hint="cs"/>
          <w:sz w:val="28"/>
          <w:szCs w:val="28"/>
          <w:rtl/>
          <w:lang w:bidi="ar-YE"/>
        </w:rPr>
        <w:t>محافظة</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حجة</w:t>
      </w:r>
      <w:r w:rsidRPr="00883DD9">
        <w:rPr>
          <w:rFonts w:ascii="Simplified Arabic" w:hAnsi="Simplified Arabic" w:cs="PT Bold Heading"/>
          <w:sz w:val="28"/>
          <w:szCs w:val="28"/>
          <w:rtl/>
          <w:lang w:bidi="ar-YE"/>
        </w:rPr>
        <w:t xml:space="preserve"> </w:t>
      </w:r>
      <w:r w:rsidRPr="00883DD9">
        <w:rPr>
          <w:rFonts w:ascii="Simplified Arabic" w:hAnsi="Simplified Arabic" w:cs="PT Bold Heading" w:hint="cs"/>
          <w:sz w:val="28"/>
          <w:szCs w:val="28"/>
          <w:rtl/>
          <w:lang w:bidi="ar-YE"/>
        </w:rPr>
        <w:t>بتاريخ</w:t>
      </w:r>
      <w:r w:rsidRPr="00883DD9">
        <w:rPr>
          <w:rFonts w:ascii="Simplified Arabic" w:hAnsi="Simplified Arabic" w:cs="PT Bold Heading"/>
          <w:sz w:val="28"/>
          <w:szCs w:val="28"/>
          <w:rtl/>
          <w:lang w:bidi="ar-YE"/>
        </w:rPr>
        <w:t xml:space="preserve"> 22 </w:t>
      </w:r>
      <w:r w:rsidRPr="00883DD9">
        <w:rPr>
          <w:rFonts w:ascii="Simplified Arabic" w:hAnsi="Simplified Arabic" w:cs="PT Bold Heading" w:hint="cs"/>
          <w:sz w:val="28"/>
          <w:szCs w:val="28"/>
          <w:rtl/>
          <w:lang w:bidi="ar-YE"/>
        </w:rPr>
        <w:t>أبريل</w:t>
      </w:r>
      <w:r w:rsidRPr="00883DD9">
        <w:rPr>
          <w:rFonts w:ascii="Simplified Arabic" w:hAnsi="Simplified Arabic" w:cs="PT Bold Heading"/>
          <w:sz w:val="28"/>
          <w:szCs w:val="28"/>
          <w:rtl/>
          <w:lang w:bidi="ar-YE"/>
        </w:rPr>
        <w:t xml:space="preserve"> 2018</w:t>
      </w:r>
    </w:p>
    <w:p w:rsidR="00883DD9" w:rsidRPr="00883DD9" w:rsidRDefault="00883DD9" w:rsidP="00883DD9">
      <w:pPr>
        <w:spacing w:after="0" w:line="240" w:lineRule="auto"/>
        <w:jc w:val="lowKashida"/>
        <w:rPr>
          <w:rFonts w:ascii="Traditional Arabic" w:hAnsi="Traditional Arabic" w:cs="Traditional Arabic"/>
          <w:b/>
          <w:bCs/>
          <w:sz w:val="34"/>
          <w:szCs w:val="34"/>
          <w:rtl/>
          <w:lang w:bidi="ar-YE"/>
        </w:rPr>
      </w:pPr>
      <w:r w:rsidRPr="00883DD9">
        <w:rPr>
          <w:rFonts w:ascii="Traditional Arabic" w:hAnsi="Traditional Arabic" w:cs="Traditional Arabic" w:hint="cs"/>
          <w:b/>
          <w:bCs/>
          <w:sz w:val="34"/>
          <w:szCs w:val="34"/>
          <w:rtl/>
          <w:lang w:bidi="ar-YE"/>
        </w:rPr>
        <w:t xml:space="preserve">في جريمة مروعة يندى لها جبين الإنسانية أقدمت طائرات تحالف الحرب على اليمن بقيادة السعودية على قصف تجمع لمدنيين في حفل زفاف المواطن يحي جعفر مساء يوم أمس الأحد الموافق 22 أبريل 2018 وذلك في مديرية بني قيس -  محافظة حجة, وهو ما أدى إلى مقتل أكثر من (35) مدنياً وجرح ما يزيد عن (55) مدنيا بينهم أطفال والبعض منهم أصيب بعاهات دائمة أو بترت أطرافه وهو ما يعد انتهاكاً جسيماً للقانون الدولي لحقوق الإنسان وللقانون الدولي الإنساني الذي يجرم الاعتداء على المدنيين أو استهدافهم وهو ما أكدته اتفاقية جنيف وبروتوكولاتها , كما أن عدد الضحايا وطبيعة المكان يشير إلى أن التحالف العسكري بقيادة السعودية قد انتهك المبادئ الاساسية للقانون الدولي الإنساني (قانون الحرب) فلم يراع مبدأ الضرورة والتناسب ومبدأ الإنسانية ووجوب تحاشي الأهداف المدنية وتمييزها عن غيرها سيما والقصف استهدف مخيم الزفاف جوار منازل سكنية وهي أعيان مدنية محرم استهدافها , ناهيك عن ان جميع المعطيات تؤكد تعمد التحالف استهداف تجمع المدنيين بمخيم الزفاف بهدف قتل أكبر عدد من المدنيين سيما وان المكان معروف وهو ما يجعل الجريمة ترقى بحق إلى وصف جرائم حرب , وتعد هذه الجريمة امتداد لسلسلة الجرائم التي ترتكبها القوات السعودية وحلفائها بحق الشعب اليمني حيث وثق المركز القانوني منذ شن العملية العسكرية على اليمن "عاصفة الحزم" آلاف جرائم استهداف المدنيين وقصف الأعيان المدنية والأحياء السكنية ومخيمات وصالات الأعراس والعزاء وعدد من الاماكن التي يتجمع فيها المدنيين والمنشآت الطبية والامنية والخدمية. </w:t>
      </w:r>
    </w:p>
    <w:p w:rsidR="00883DD9" w:rsidRPr="00883DD9" w:rsidRDefault="00883DD9" w:rsidP="00883DD9">
      <w:pPr>
        <w:spacing w:before="240" w:after="0" w:line="240" w:lineRule="auto"/>
        <w:jc w:val="lowKashida"/>
        <w:rPr>
          <w:rFonts w:ascii="Traditional Arabic" w:hAnsi="Traditional Arabic" w:cs="Traditional Arabic"/>
          <w:b/>
          <w:bCs/>
          <w:w w:val="92"/>
          <w:sz w:val="34"/>
          <w:szCs w:val="34"/>
          <w:rtl/>
          <w:lang w:bidi="ar-YE"/>
        </w:rPr>
      </w:pPr>
      <w:r w:rsidRPr="00883DD9">
        <w:rPr>
          <w:rFonts w:ascii="Traditional Arabic" w:hAnsi="Traditional Arabic" w:cs="Traditional Arabic" w:hint="cs"/>
          <w:b/>
          <w:bCs/>
          <w:sz w:val="34"/>
          <w:szCs w:val="34"/>
          <w:rtl/>
          <w:lang w:bidi="ar-YE"/>
        </w:rPr>
        <w:t xml:space="preserve">المركز القانوني للحقوق والتنمية إذ يدين ويستنكر هذه الجريمة البشعة بحق الإنسانية فإنه </w:t>
      </w:r>
      <w:r w:rsidRPr="00883DD9">
        <w:rPr>
          <w:rFonts w:ascii="Traditional Arabic" w:hAnsi="Traditional Arabic" w:cs="Traditional Arabic"/>
          <w:b/>
          <w:bCs/>
          <w:sz w:val="34"/>
          <w:szCs w:val="34"/>
          <w:rtl/>
          <w:lang w:bidi="ar-YE"/>
        </w:rPr>
        <w:t>يحمل</w:t>
      </w:r>
      <w:r w:rsidRPr="00883DD9">
        <w:rPr>
          <w:rFonts w:ascii="Traditional Arabic" w:hAnsi="Traditional Arabic" w:cs="Traditional Arabic" w:hint="cs"/>
          <w:b/>
          <w:bCs/>
          <w:sz w:val="34"/>
          <w:szCs w:val="34"/>
          <w:rtl/>
          <w:lang w:bidi="ar-YE"/>
        </w:rPr>
        <w:t xml:space="preserve"> السعودية وتحالفها المسئولية عن هذه الجريمة وسابقاتها ويطالب بالتحقيق والمسائلة الجنائية لقيادات التحالف وجميع من يثبت تورطهم في هذه الجرائم, كما يعتبر منظمة</w:t>
      </w:r>
      <w:r w:rsidRPr="00883DD9">
        <w:rPr>
          <w:rFonts w:ascii="Traditional Arabic" w:hAnsi="Traditional Arabic" w:cs="Traditional Arabic"/>
          <w:b/>
          <w:bCs/>
          <w:sz w:val="34"/>
          <w:szCs w:val="34"/>
          <w:rtl/>
          <w:lang w:bidi="ar-YE"/>
        </w:rPr>
        <w:t xml:space="preserve"> الأمم المتحدة ومجلس الأمن</w:t>
      </w:r>
      <w:r w:rsidRPr="00883DD9">
        <w:rPr>
          <w:rFonts w:ascii="Traditional Arabic" w:hAnsi="Traditional Arabic" w:cs="Traditional Arabic" w:hint="cs"/>
          <w:b/>
          <w:bCs/>
          <w:sz w:val="34"/>
          <w:szCs w:val="34"/>
          <w:rtl/>
          <w:lang w:bidi="ar-YE"/>
        </w:rPr>
        <w:t xml:space="preserve"> شريكين أساسيين في جميع تلك الجرائم جراء تقاعسهم عن تحمل</w:t>
      </w:r>
      <w:r w:rsidRPr="00883DD9">
        <w:rPr>
          <w:rFonts w:ascii="Traditional Arabic" w:hAnsi="Traditional Arabic" w:cs="Traditional Arabic"/>
          <w:b/>
          <w:bCs/>
          <w:sz w:val="34"/>
          <w:szCs w:val="34"/>
          <w:rtl/>
          <w:lang w:bidi="ar-YE"/>
        </w:rPr>
        <w:t xml:space="preserve"> </w:t>
      </w:r>
      <w:r w:rsidRPr="00883DD9">
        <w:rPr>
          <w:rFonts w:ascii="Traditional Arabic" w:hAnsi="Traditional Arabic" w:cs="Traditional Arabic"/>
          <w:b/>
          <w:bCs/>
          <w:w w:val="92"/>
          <w:sz w:val="34"/>
          <w:szCs w:val="34"/>
          <w:rtl/>
          <w:lang w:bidi="ar-YE"/>
        </w:rPr>
        <w:t>مسؤولي</w:t>
      </w:r>
      <w:r w:rsidRPr="00883DD9">
        <w:rPr>
          <w:rFonts w:ascii="Traditional Arabic" w:hAnsi="Traditional Arabic" w:cs="Traditional Arabic" w:hint="cs"/>
          <w:b/>
          <w:bCs/>
          <w:w w:val="92"/>
          <w:sz w:val="34"/>
          <w:szCs w:val="34"/>
          <w:rtl/>
          <w:lang w:bidi="ar-YE"/>
        </w:rPr>
        <w:t>اتهم القانونية والأخلاقية والتعامل بجدية وحزم تجاه هذه الجرائم والعمل على ايقافها.</w:t>
      </w:r>
    </w:p>
    <w:p w:rsidR="00883DD9" w:rsidRPr="00883DD9" w:rsidRDefault="00883DD9" w:rsidP="00883DD9">
      <w:pPr>
        <w:spacing w:before="240" w:after="0" w:line="240" w:lineRule="auto"/>
        <w:jc w:val="lowKashida"/>
        <w:rPr>
          <w:rFonts w:ascii="Traditional Arabic" w:hAnsi="Traditional Arabic" w:cs="Traditional Arabic"/>
          <w:b/>
          <w:bCs/>
          <w:sz w:val="34"/>
          <w:szCs w:val="34"/>
          <w:rtl/>
          <w:lang w:bidi="ar-YE"/>
        </w:rPr>
      </w:pPr>
      <w:r w:rsidRPr="00883DD9">
        <w:rPr>
          <w:rFonts w:ascii="Traditional Arabic" w:hAnsi="Traditional Arabic" w:cs="Traditional Arabic" w:hint="cs"/>
          <w:b/>
          <w:bCs/>
          <w:sz w:val="34"/>
          <w:szCs w:val="34"/>
          <w:rtl/>
          <w:lang w:bidi="ar-YE"/>
        </w:rPr>
        <w:t xml:space="preserve">كما يجدد المركز القانوني مناشدته للمجتمع الدولي والمنظمات الحقوقية والإنسانية وجميع شرفاء وأحرار العالم إلى تحمل مسئوليتهم الاخلاقية والإنسانية في مناصرة الشعب اليمني المظلوم وإدانة الجرائم المروعة المرتكبة من قبل التحالف السعودي والضغط على </w:t>
      </w:r>
      <w:r w:rsidRPr="00883DD9">
        <w:rPr>
          <w:rFonts w:ascii="Traditional Arabic" w:hAnsi="Traditional Arabic" w:cs="Traditional Arabic"/>
          <w:b/>
          <w:bCs/>
          <w:sz w:val="34"/>
          <w:szCs w:val="34"/>
          <w:rtl/>
          <w:lang w:bidi="ar-YE"/>
        </w:rPr>
        <w:t xml:space="preserve">مجلس الأمن </w:t>
      </w:r>
      <w:r w:rsidRPr="00883DD9">
        <w:rPr>
          <w:rFonts w:ascii="Traditional Arabic" w:hAnsi="Traditional Arabic" w:cs="Traditional Arabic" w:hint="cs"/>
          <w:b/>
          <w:bCs/>
          <w:sz w:val="34"/>
          <w:szCs w:val="34"/>
          <w:rtl/>
          <w:lang w:bidi="ar-YE"/>
        </w:rPr>
        <w:t>للقيام بواجبهم القانوني والأخلاقي في</w:t>
      </w:r>
      <w:r w:rsidRPr="00883DD9">
        <w:rPr>
          <w:rFonts w:ascii="Traditional Arabic" w:hAnsi="Traditional Arabic" w:cs="Traditional Arabic"/>
          <w:b/>
          <w:bCs/>
          <w:sz w:val="34"/>
          <w:szCs w:val="34"/>
          <w:rtl/>
          <w:lang w:bidi="ar-YE"/>
        </w:rPr>
        <w:t xml:space="preserve"> حماية المدنيين والمنشآت المدنية </w:t>
      </w:r>
      <w:r w:rsidRPr="00883DD9">
        <w:rPr>
          <w:rFonts w:ascii="Traditional Arabic" w:hAnsi="Traditional Arabic" w:cs="Traditional Arabic" w:hint="cs"/>
          <w:b/>
          <w:bCs/>
          <w:sz w:val="34"/>
          <w:szCs w:val="34"/>
          <w:rtl/>
          <w:lang w:bidi="ar-YE"/>
        </w:rPr>
        <w:t>وإيقاف</w:t>
      </w:r>
      <w:r w:rsidRPr="00883DD9">
        <w:rPr>
          <w:rFonts w:ascii="Traditional Arabic" w:hAnsi="Traditional Arabic" w:cs="Traditional Arabic"/>
          <w:b/>
          <w:bCs/>
          <w:sz w:val="34"/>
          <w:szCs w:val="34"/>
          <w:rtl/>
          <w:lang w:bidi="ar-YE"/>
        </w:rPr>
        <w:t xml:space="preserve"> الحرب وجميع أ</w:t>
      </w:r>
      <w:r w:rsidRPr="00883DD9">
        <w:rPr>
          <w:rFonts w:ascii="Traditional Arabic" w:hAnsi="Traditional Arabic" w:cs="Traditional Arabic" w:hint="cs"/>
          <w:b/>
          <w:bCs/>
          <w:sz w:val="34"/>
          <w:szCs w:val="34"/>
          <w:rtl/>
          <w:lang w:bidi="ar-YE"/>
        </w:rPr>
        <w:t>شكال</w:t>
      </w:r>
      <w:r w:rsidRPr="00883DD9">
        <w:rPr>
          <w:rFonts w:ascii="Traditional Arabic" w:hAnsi="Traditional Arabic" w:cs="Traditional Arabic"/>
          <w:b/>
          <w:bCs/>
          <w:sz w:val="34"/>
          <w:szCs w:val="34"/>
          <w:rtl/>
          <w:lang w:bidi="ar-YE"/>
        </w:rPr>
        <w:t xml:space="preserve"> العدوان على اليمن</w:t>
      </w:r>
      <w:r w:rsidRPr="00883DD9">
        <w:rPr>
          <w:rFonts w:ascii="Traditional Arabic" w:hAnsi="Traditional Arabic" w:cs="Traditional Arabic" w:hint="cs"/>
          <w:b/>
          <w:bCs/>
          <w:sz w:val="34"/>
          <w:szCs w:val="34"/>
          <w:rtl/>
          <w:lang w:bidi="ar-YE"/>
        </w:rPr>
        <w:t xml:space="preserve"> وشعبه</w:t>
      </w:r>
      <w:r w:rsidRPr="00883DD9">
        <w:rPr>
          <w:rFonts w:ascii="Traditional Arabic" w:hAnsi="Traditional Arabic" w:cs="Traditional Arabic"/>
          <w:b/>
          <w:bCs/>
          <w:sz w:val="34"/>
          <w:szCs w:val="34"/>
          <w:rtl/>
          <w:lang w:bidi="ar-YE"/>
        </w:rPr>
        <w:t xml:space="preserve"> كما ن</w:t>
      </w:r>
      <w:r w:rsidRPr="00883DD9">
        <w:rPr>
          <w:rFonts w:ascii="Traditional Arabic" w:hAnsi="Traditional Arabic" w:cs="Traditional Arabic" w:hint="cs"/>
          <w:b/>
          <w:bCs/>
          <w:sz w:val="34"/>
          <w:szCs w:val="34"/>
          <w:rtl/>
          <w:lang w:bidi="ar-YE"/>
        </w:rPr>
        <w:t>جدد دعوتنا إلى تشكيل لجنة تحقيق دولية محايدة</w:t>
      </w:r>
      <w:r w:rsidRPr="00883DD9">
        <w:rPr>
          <w:rFonts w:ascii="Traditional Arabic" w:hAnsi="Traditional Arabic" w:cs="Traditional Arabic"/>
          <w:b/>
          <w:bCs/>
          <w:sz w:val="34"/>
          <w:szCs w:val="34"/>
          <w:rtl/>
          <w:lang w:bidi="ar-YE"/>
        </w:rPr>
        <w:t xml:space="preserve"> </w:t>
      </w:r>
      <w:r w:rsidRPr="00883DD9">
        <w:rPr>
          <w:rFonts w:ascii="Traditional Arabic" w:hAnsi="Traditional Arabic" w:cs="Traditional Arabic" w:hint="cs"/>
          <w:b/>
          <w:bCs/>
          <w:sz w:val="34"/>
          <w:szCs w:val="34"/>
          <w:rtl/>
          <w:lang w:bidi="ar-YE"/>
        </w:rPr>
        <w:t>للتحقيق في جميع الجرائم المرتكبة بحق ابناء الشعب اليمني.</w:t>
      </w:r>
    </w:p>
    <w:p w:rsidR="00883DD9" w:rsidRPr="00883DD9" w:rsidRDefault="00883DD9" w:rsidP="00883DD9">
      <w:pPr>
        <w:spacing w:before="240" w:after="0" w:line="240" w:lineRule="auto"/>
        <w:jc w:val="center"/>
        <w:rPr>
          <w:rFonts w:ascii="Hacen Tunisia Bold" w:hAnsi="Hacen Tunisia Bold" w:cs="Monotype Koufi"/>
          <w:sz w:val="30"/>
          <w:szCs w:val="30"/>
          <w:lang w:bidi="ar-YE"/>
        </w:rPr>
      </w:pPr>
      <w:r w:rsidRPr="00883DD9">
        <w:rPr>
          <w:rFonts w:ascii="Hacen Tunisia Bold" w:hAnsi="Hacen Tunisia Bold" w:cs="Monotype Koufi" w:hint="cs"/>
          <w:sz w:val="30"/>
          <w:szCs w:val="30"/>
          <w:rtl/>
          <w:lang w:bidi="ar-YE"/>
        </w:rPr>
        <w:t>صادر عن المركز القانوني للحقوق والتنمية بتاريخ 23 أبريل 2018م</w:t>
      </w:r>
    </w:p>
    <w:p w:rsidR="006938EB" w:rsidRPr="00883DD9" w:rsidRDefault="00A94803" w:rsidP="00883DD9">
      <w:pPr>
        <w:spacing w:line="240" w:lineRule="auto"/>
      </w:pPr>
      <w:bookmarkStart w:id="0" w:name="_GoBack"/>
      <w:bookmarkEnd w:id="0"/>
    </w:p>
    <w:sectPr w:rsidR="006938EB" w:rsidRPr="00883DD9" w:rsidSect="00A14F80">
      <w:footerReference w:type="default" r:id="rId7"/>
      <w:pgSz w:w="11906" w:h="16838"/>
      <w:pgMar w:top="567" w:right="567" w:bottom="142"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03" w:rsidRDefault="00A94803" w:rsidP="001F20CD">
      <w:pPr>
        <w:spacing w:after="0" w:line="240" w:lineRule="auto"/>
      </w:pPr>
      <w:r>
        <w:separator/>
      </w:r>
    </w:p>
  </w:endnote>
  <w:endnote w:type="continuationSeparator" w:id="0">
    <w:p w:rsidR="00A94803" w:rsidRDefault="00A94803" w:rsidP="001F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H) Manal Ligh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Hacen Tunisia Bold">
    <w:panose1 w:val="02000000000000000000"/>
    <w:charset w:val="00"/>
    <w:family w:val="auto"/>
    <w:pitch w:val="variable"/>
    <w:sig w:usb0="00002003" w:usb1="00000000" w:usb2="00000000" w:usb3="00000000" w:csb0="00000041"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CD" w:rsidRDefault="001F20CD">
    <w:pPr>
      <w:pStyle w:val="a4"/>
    </w:pPr>
    <w:r>
      <w:rPr>
        <w:noProof/>
      </w:rPr>
      <w:drawing>
        <wp:inline distT="0" distB="0" distL="0" distR="0">
          <wp:extent cx="6818376" cy="353568"/>
          <wp:effectExtent l="0" t="0" r="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ذييل.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8376" cy="3535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03" w:rsidRDefault="00A94803" w:rsidP="001F20CD">
      <w:pPr>
        <w:spacing w:after="0" w:line="240" w:lineRule="auto"/>
      </w:pPr>
      <w:r>
        <w:separator/>
      </w:r>
    </w:p>
  </w:footnote>
  <w:footnote w:type="continuationSeparator" w:id="0">
    <w:p w:rsidR="00A94803" w:rsidRDefault="00A94803" w:rsidP="001F2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D9"/>
    <w:rsid w:val="001F20CD"/>
    <w:rsid w:val="0046298E"/>
    <w:rsid w:val="006E0592"/>
    <w:rsid w:val="00883DD9"/>
    <w:rsid w:val="00990186"/>
    <w:rsid w:val="00A94803"/>
    <w:rsid w:val="00AE0750"/>
    <w:rsid w:val="00C2578D"/>
    <w:rsid w:val="00C46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H) Manal Light"/>
        <w:sz w:val="30"/>
        <w:szCs w:val="3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D9"/>
    <w:pPr>
      <w:bidi/>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0CD"/>
    <w:pPr>
      <w:tabs>
        <w:tab w:val="center" w:pos="4153"/>
        <w:tab w:val="right" w:pos="8306"/>
      </w:tabs>
      <w:spacing w:after="0" w:line="240" w:lineRule="auto"/>
    </w:pPr>
  </w:style>
  <w:style w:type="character" w:customStyle="1" w:styleId="Char">
    <w:name w:val="رأس الصفحة Char"/>
    <w:basedOn w:val="a0"/>
    <w:link w:val="a3"/>
    <w:uiPriority w:val="99"/>
    <w:rsid w:val="001F20CD"/>
    <w:rPr>
      <w:rFonts w:asciiTheme="minorHAnsi" w:hAnsiTheme="minorHAnsi" w:cstheme="minorBidi"/>
      <w:sz w:val="22"/>
      <w:szCs w:val="22"/>
    </w:rPr>
  </w:style>
  <w:style w:type="paragraph" w:styleId="a4">
    <w:name w:val="footer"/>
    <w:basedOn w:val="a"/>
    <w:link w:val="Char0"/>
    <w:uiPriority w:val="99"/>
    <w:unhideWhenUsed/>
    <w:rsid w:val="001F20CD"/>
    <w:pPr>
      <w:tabs>
        <w:tab w:val="center" w:pos="4153"/>
        <w:tab w:val="right" w:pos="8306"/>
      </w:tabs>
      <w:spacing w:after="0" w:line="240" w:lineRule="auto"/>
    </w:pPr>
  </w:style>
  <w:style w:type="character" w:customStyle="1" w:styleId="Char0">
    <w:name w:val="تذييل الصفحة Char"/>
    <w:basedOn w:val="a0"/>
    <w:link w:val="a4"/>
    <w:uiPriority w:val="99"/>
    <w:rsid w:val="001F20CD"/>
    <w:rPr>
      <w:rFonts w:asciiTheme="minorHAnsi" w:hAnsiTheme="minorHAnsi" w:cstheme="minorBidi"/>
      <w:sz w:val="22"/>
      <w:szCs w:val="22"/>
    </w:rPr>
  </w:style>
  <w:style w:type="paragraph" w:styleId="a5">
    <w:name w:val="Balloon Text"/>
    <w:basedOn w:val="a"/>
    <w:link w:val="Char1"/>
    <w:uiPriority w:val="99"/>
    <w:semiHidden/>
    <w:unhideWhenUsed/>
    <w:rsid w:val="001F20C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F2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H) Manal Light"/>
        <w:sz w:val="30"/>
        <w:szCs w:val="3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D9"/>
    <w:pPr>
      <w:bidi/>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0CD"/>
    <w:pPr>
      <w:tabs>
        <w:tab w:val="center" w:pos="4153"/>
        <w:tab w:val="right" w:pos="8306"/>
      </w:tabs>
      <w:spacing w:after="0" w:line="240" w:lineRule="auto"/>
    </w:pPr>
  </w:style>
  <w:style w:type="character" w:customStyle="1" w:styleId="Char">
    <w:name w:val="رأس الصفحة Char"/>
    <w:basedOn w:val="a0"/>
    <w:link w:val="a3"/>
    <w:uiPriority w:val="99"/>
    <w:rsid w:val="001F20CD"/>
    <w:rPr>
      <w:rFonts w:asciiTheme="minorHAnsi" w:hAnsiTheme="minorHAnsi" w:cstheme="minorBidi"/>
      <w:sz w:val="22"/>
      <w:szCs w:val="22"/>
    </w:rPr>
  </w:style>
  <w:style w:type="paragraph" w:styleId="a4">
    <w:name w:val="footer"/>
    <w:basedOn w:val="a"/>
    <w:link w:val="Char0"/>
    <w:uiPriority w:val="99"/>
    <w:unhideWhenUsed/>
    <w:rsid w:val="001F20CD"/>
    <w:pPr>
      <w:tabs>
        <w:tab w:val="center" w:pos="4153"/>
        <w:tab w:val="right" w:pos="8306"/>
      </w:tabs>
      <w:spacing w:after="0" w:line="240" w:lineRule="auto"/>
    </w:pPr>
  </w:style>
  <w:style w:type="character" w:customStyle="1" w:styleId="Char0">
    <w:name w:val="تذييل الصفحة Char"/>
    <w:basedOn w:val="a0"/>
    <w:link w:val="a4"/>
    <w:uiPriority w:val="99"/>
    <w:rsid w:val="001F20CD"/>
    <w:rPr>
      <w:rFonts w:asciiTheme="minorHAnsi" w:hAnsiTheme="minorHAnsi" w:cstheme="minorBidi"/>
      <w:sz w:val="22"/>
      <w:szCs w:val="22"/>
    </w:rPr>
  </w:style>
  <w:style w:type="paragraph" w:styleId="a5">
    <w:name w:val="Balloon Text"/>
    <w:basedOn w:val="a"/>
    <w:link w:val="Char1"/>
    <w:uiPriority w:val="99"/>
    <w:semiHidden/>
    <w:unhideWhenUsed/>
    <w:rsid w:val="001F20C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F2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2049</Characters>
  <Application>Microsoft Office Word</Application>
  <DocSecurity>0</DocSecurity>
  <Lines>17</Lines>
  <Paragraphs>4</Paragraphs>
  <ScaleCrop>false</ScaleCrop>
  <Company>Naim Al Hussaini</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 Center</dc:creator>
  <cp:lastModifiedBy>Legal Center</cp:lastModifiedBy>
  <cp:revision>2</cp:revision>
  <dcterms:created xsi:type="dcterms:W3CDTF">2018-04-23T18:02:00Z</dcterms:created>
  <dcterms:modified xsi:type="dcterms:W3CDTF">2018-04-23T18:10:00Z</dcterms:modified>
</cp:coreProperties>
</file>